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8858AD" w14:paraId="4D7A9445" w14:textId="77777777" w:rsidTr="007D6839">
        <w:trPr>
          <w:trHeight w:val="182"/>
        </w:trPr>
        <w:tc>
          <w:tcPr>
            <w:tcW w:w="9014" w:type="dxa"/>
            <w:vAlign w:val="bottom"/>
          </w:tcPr>
          <w:p w14:paraId="1736F7DA" w14:textId="77777777" w:rsidR="008858AD" w:rsidRPr="008858AD" w:rsidRDefault="008858AD" w:rsidP="008858AD">
            <w:pPr>
              <w:pStyle w:val="ConsPlusNormal"/>
              <w:jc w:val="center"/>
              <w:rPr>
                <w:b/>
                <w:bCs/>
              </w:rPr>
            </w:pPr>
            <w:r w:rsidRPr="008858AD">
              <w:rPr>
                <w:b/>
                <w:bCs/>
              </w:rPr>
              <w:t>ПОРЯДОК</w:t>
            </w:r>
          </w:p>
          <w:p w14:paraId="32CF158D" w14:textId="77777777" w:rsidR="008858AD" w:rsidRPr="00A41507" w:rsidRDefault="008858AD" w:rsidP="008858AD">
            <w:pPr>
              <w:pStyle w:val="ConsPlusNormal"/>
              <w:jc w:val="center"/>
            </w:pPr>
            <w:r w:rsidRPr="008858AD">
              <w:rPr>
                <w:b/>
                <w:bCs/>
              </w:rPr>
              <w:t>рассмотрения и оценки заявок на участие в конкурсе</w:t>
            </w:r>
          </w:p>
        </w:tc>
      </w:tr>
      <w:tr w:rsidR="008858AD" w14:paraId="23A5E0CF" w14:textId="77777777" w:rsidTr="007D6839">
        <w:trPr>
          <w:trHeight w:val="282"/>
        </w:trPr>
        <w:tc>
          <w:tcPr>
            <w:tcW w:w="9014" w:type="dxa"/>
          </w:tcPr>
          <w:p w14:paraId="7296F0EE" w14:textId="77777777" w:rsidR="008858AD" w:rsidRDefault="008858AD" w:rsidP="008858AD">
            <w:pPr>
              <w:pStyle w:val="ConsPlusNormal"/>
              <w:jc w:val="center"/>
              <w:outlineLvl w:val="2"/>
            </w:pPr>
            <w:bookmarkStart w:id="0" w:name="Par268"/>
            <w:bookmarkEnd w:id="0"/>
            <w:r>
              <w:t>I. Информация о заказчике и закупке товаров, работ, услуг для обеспечения государственных и муниципальных нужд (далее - закупка)</w:t>
            </w:r>
          </w:p>
        </w:tc>
      </w:tr>
    </w:tbl>
    <w:p w14:paraId="2DAE32E7" w14:textId="77777777" w:rsidR="008858AD" w:rsidRDefault="008858AD" w:rsidP="008858AD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2778"/>
        <w:gridCol w:w="1361"/>
        <w:gridCol w:w="1504"/>
      </w:tblGrid>
      <w:tr w:rsidR="008858AD" w14:paraId="300D526C" w14:textId="77777777" w:rsidTr="004B6D67">
        <w:tc>
          <w:tcPr>
            <w:tcW w:w="3855" w:type="dxa"/>
          </w:tcPr>
          <w:p w14:paraId="0EE38942" w14:textId="77777777" w:rsidR="008858AD" w:rsidRDefault="008858AD" w:rsidP="008858AD">
            <w:pPr>
              <w:pStyle w:val="ConsPlusNormal"/>
            </w:pPr>
          </w:p>
        </w:tc>
        <w:tc>
          <w:tcPr>
            <w:tcW w:w="2778" w:type="dxa"/>
          </w:tcPr>
          <w:p w14:paraId="4A156B70" w14:textId="77777777" w:rsidR="008858AD" w:rsidRDefault="008858AD" w:rsidP="008858AD">
            <w:pPr>
              <w:pStyle w:val="ConsPlusNormal"/>
            </w:pPr>
          </w:p>
        </w:tc>
        <w:tc>
          <w:tcPr>
            <w:tcW w:w="1361" w:type="dxa"/>
          </w:tcPr>
          <w:p w14:paraId="32C785F3" w14:textId="77777777" w:rsidR="008858AD" w:rsidRDefault="008858AD" w:rsidP="008858AD">
            <w:pPr>
              <w:pStyle w:val="ConsPlusNormal"/>
            </w:pPr>
          </w:p>
        </w:tc>
        <w:tc>
          <w:tcPr>
            <w:tcW w:w="1504" w:type="dxa"/>
            <w:tcBorders>
              <w:bottom w:val="single" w:sz="4" w:space="0" w:color="auto"/>
            </w:tcBorders>
          </w:tcPr>
          <w:p w14:paraId="2B6A8216" w14:textId="77777777" w:rsidR="008858AD" w:rsidRDefault="008858AD" w:rsidP="008858AD">
            <w:pPr>
              <w:pStyle w:val="ConsPlusNormal"/>
            </w:pPr>
          </w:p>
        </w:tc>
      </w:tr>
      <w:tr w:rsidR="008858AD" w14:paraId="446630D0" w14:textId="77777777" w:rsidTr="004B6D67">
        <w:tc>
          <w:tcPr>
            <w:tcW w:w="3855" w:type="dxa"/>
          </w:tcPr>
          <w:p w14:paraId="0A1FB734" w14:textId="77777777" w:rsidR="008858AD" w:rsidRDefault="008858AD" w:rsidP="008858AD">
            <w:pPr>
              <w:pStyle w:val="ConsPlusNormal"/>
            </w:pPr>
          </w:p>
        </w:tc>
        <w:tc>
          <w:tcPr>
            <w:tcW w:w="2778" w:type="dxa"/>
          </w:tcPr>
          <w:p w14:paraId="7DC401AE" w14:textId="77777777" w:rsidR="008858AD" w:rsidRDefault="008858AD" w:rsidP="008858AD">
            <w:pPr>
              <w:pStyle w:val="ConsPlusNormal"/>
            </w:pPr>
          </w:p>
        </w:tc>
        <w:tc>
          <w:tcPr>
            <w:tcW w:w="1361" w:type="dxa"/>
            <w:tcBorders>
              <w:right w:val="single" w:sz="4" w:space="0" w:color="auto"/>
            </w:tcBorders>
          </w:tcPr>
          <w:p w14:paraId="63816E77" w14:textId="77777777" w:rsidR="008858AD" w:rsidRDefault="008858AD" w:rsidP="008858AD">
            <w:pPr>
              <w:pStyle w:val="ConsPlusNormal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77A79D" w14:textId="77777777" w:rsidR="008858AD" w:rsidRDefault="008858AD" w:rsidP="008858AD">
            <w:pPr>
              <w:pStyle w:val="ConsPlusNormal"/>
              <w:jc w:val="center"/>
            </w:pPr>
            <w:r>
              <w:t>Коды</w:t>
            </w:r>
          </w:p>
        </w:tc>
      </w:tr>
      <w:tr w:rsidR="00053704" w14:paraId="7FBF2C1F" w14:textId="77777777" w:rsidTr="004B6D67">
        <w:tc>
          <w:tcPr>
            <w:tcW w:w="3855" w:type="dxa"/>
          </w:tcPr>
          <w:p w14:paraId="1F6B824B" w14:textId="77777777" w:rsidR="00053704" w:rsidRDefault="00053704" w:rsidP="00053704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2778" w:type="dxa"/>
          </w:tcPr>
          <w:p w14:paraId="7A722BD8" w14:textId="77777777" w:rsidR="00053704" w:rsidRDefault="00053704" w:rsidP="00053704">
            <w:pPr>
              <w:pStyle w:val="ConsPlusNormal"/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908EAF1" w14:textId="53C9E276" w:rsidR="00053704" w:rsidRDefault="00053704" w:rsidP="00053704">
            <w:pPr>
              <w:pStyle w:val="ConsPlusNormal"/>
              <w:jc w:val="right"/>
            </w:pPr>
            <w:r w:rsidRPr="00EA6A6F">
              <w:t>ИНН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9E190" w14:textId="72C5B4A9" w:rsidR="00053704" w:rsidRPr="00C00B52" w:rsidRDefault="00053704" w:rsidP="00053704">
            <w:pPr>
              <w:pStyle w:val="ConsPlusNormal"/>
              <w:rPr>
                <w:lang w:val="en-US"/>
              </w:rPr>
            </w:pPr>
            <w:r w:rsidRPr="00EA6A6F">
              <w:rPr>
                <w:lang w:val="en-US"/>
              </w:rPr>
              <w:t>0908001665</w:t>
            </w:r>
          </w:p>
        </w:tc>
      </w:tr>
      <w:tr w:rsidR="00053704" w14:paraId="71074218" w14:textId="77777777" w:rsidTr="004B6D67">
        <w:tc>
          <w:tcPr>
            <w:tcW w:w="3855" w:type="dxa"/>
          </w:tcPr>
          <w:p w14:paraId="640CA728" w14:textId="77777777" w:rsidR="00053704" w:rsidRDefault="00053704" w:rsidP="00053704">
            <w:pPr>
              <w:pStyle w:val="ConsPlusNormal"/>
            </w:pPr>
          </w:p>
        </w:tc>
        <w:tc>
          <w:tcPr>
            <w:tcW w:w="2778" w:type="dxa"/>
            <w:tcBorders>
              <w:bottom w:val="single" w:sz="4" w:space="0" w:color="auto"/>
            </w:tcBorders>
          </w:tcPr>
          <w:p w14:paraId="54759A26" w14:textId="07F90BD4" w:rsidR="00053704" w:rsidRDefault="00053704" w:rsidP="00053704">
            <w:pPr>
              <w:pStyle w:val="ConsPlusNormal"/>
              <w:jc w:val="both"/>
            </w:pPr>
            <w:r w:rsidRPr="00EA6A6F">
              <w:t>Администрация Курджиновского сельского поселения Карачаево-Черкесской Республики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3EA77DDE" w14:textId="6A217E89" w:rsidR="00053704" w:rsidRDefault="00053704" w:rsidP="00053704">
            <w:pPr>
              <w:pStyle w:val="ConsPlusNormal"/>
              <w:jc w:val="right"/>
            </w:pPr>
            <w:r w:rsidRPr="00EA6A6F">
              <w:t>КПП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4943A" w14:textId="7F7469DE" w:rsidR="00053704" w:rsidRPr="00C00B52" w:rsidRDefault="00053704" w:rsidP="00053704">
            <w:pPr>
              <w:pStyle w:val="ConsPlusNormal"/>
              <w:rPr>
                <w:lang w:val="en-US"/>
              </w:rPr>
            </w:pPr>
            <w:r w:rsidRPr="00EA6A6F">
              <w:rPr>
                <w:lang w:val="en-US"/>
              </w:rPr>
              <w:t>090801001</w:t>
            </w:r>
          </w:p>
        </w:tc>
      </w:tr>
      <w:tr w:rsidR="00053704" w14:paraId="516EBDEA" w14:textId="77777777" w:rsidTr="004B6D67">
        <w:tc>
          <w:tcPr>
            <w:tcW w:w="3855" w:type="dxa"/>
          </w:tcPr>
          <w:p w14:paraId="3E7F886E" w14:textId="77777777" w:rsidR="00053704" w:rsidRDefault="00053704" w:rsidP="00053704">
            <w:pPr>
              <w:pStyle w:val="ConsPlusNormal"/>
            </w:pPr>
            <w:r>
              <w:t>Место нахождения, телефон, адрес электронной почты</w:t>
            </w:r>
          </w:p>
        </w:tc>
        <w:tc>
          <w:tcPr>
            <w:tcW w:w="2778" w:type="dxa"/>
            <w:tcBorders>
              <w:top w:val="single" w:sz="4" w:space="0" w:color="auto"/>
              <w:bottom w:val="single" w:sz="4" w:space="0" w:color="auto"/>
            </w:tcBorders>
          </w:tcPr>
          <w:p w14:paraId="3558926D" w14:textId="77777777" w:rsidR="00053704" w:rsidRPr="00EA6A6F" w:rsidRDefault="00053704" w:rsidP="00053704">
            <w:pPr>
              <w:pStyle w:val="ConsPlusNormal"/>
              <w:jc w:val="both"/>
            </w:pPr>
            <w:r w:rsidRPr="00EA6A6F">
              <w:t xml:space="preserve">369270, Карачаево-Черкесская Республика, Урупский район, село </w:t>
            </w:r>
            <w:proofErr w:type="spellStart"/>
            <w:r w:rsidRPr="00EA6A6F">
              <w:t>Курджиново</w:t>
            </w:r>
            <w:proofErr w:type="spellEnd"/>
            <w:r w:rsidRPr="00EA6A6F">
              <w:t xml:space="preserve">, Шоссейная ул., д.310, </w:t>
            </w:r>
          </w:p>
          <w:p w14:paraId="21F61DCA" w14:textId="77777777" w:rsidR="00053704" w:rsidRPr="00EA6A6F" w:rsidRDefault="00053704" w:rsidP="00053704">
            <w:pPr>
              <w:pStyle w:val="ConsPlusNormal"/>
              <w:jc w:val="both"/>
              <w:rPr>
                <w:lang w:val="en-US"/>
              </w:rPr>
            </w:pPr>
            <w:r w:rsidRPr="00EA6A6F">
              <w:rPr>
                <w:lang w:val="en-US"/>
              </w:rPr>
              <w:t>E-mail: admkurdjinovo@yandex.ru</w:t>
            </w:r>
          </w:p>
          <w:p w14:paraId="3DA1CB96" w14:textId="79E19F14" w:rsidR="00053704" w:rsidRPr="00E52069" w:rsidRDefault="00053704" w:rsidP="00053704">
            <w:pPr>
              <w:pStyle w:val="ConsPlusNormal"/>
              <w:jc w:val="both"/>
              <w:rPr>
                <w:lang w:val="en-US"/>
              </w:rPr>
            </w:pPr>
            <w:proofErr w:type="spellStart"/>
            <w:r w:rsidRPr="00EA6A6F">
              <w:rPr>
                <w:lang w:val="en-US"/>
              </w:rPr>
              <w:t>Тел</w:t>
            </w:r>
            <w:proofErr w:type="spellEnd"/>
            <w:r w:rsidRPr="00EA6A6F">
              <w:rPr>
                <w:lang w:val="en-US"/>
              </w:rPr>
              <w:t>.: 8-87876-41454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30C1B5A" w14:textId="332C3FF8" w:rsidR="00053704" w:rsidRDefault="00053704" w:rsidP="00053704">
            <w:pPr>
              <w:pStyle w:val="ConsPlusNormal"/>
              <w:jc w:val="right"/>
            </w:pPr>
            <w:r w:rsidRPr="00EA6A6F">
              <w:t xml:space="preserve">по </w:t>
            </w:r>
            <w:hyperlink r:id="rId7" w:history="1">
              <w:r w:rsidRPr="00EA6A6F">
                <w:rPr>
                  <w:color w:val="0000FF"/>
                </w:rPr>
                <w:t>ОКТМО</w:t>
              </w:r>
            </w:hyperlink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07B8" w14:textId="3F36F137" w:rsidR="00053704" w:rsidRDefault="00053704" w:rsidP="00053704">
            <w:pPr>
              <w:pStyle w:val="ConsPlusNormal"/>
            </w:pPr>
            <w:r w:rsidRPr="00EA6A6F">
              <w:t>91630413101</w:t>
            </w:r>
          </w:p>
        </w:tc>
      </w:tr>
      <w:tr w:rsidR="008858AD" w14:paraId="04CC2EF0" w14:textId="77777777" w:rsidTr="004B6D67">
        <w:tc>
          <w:tcPr>
            <w:tcW w:w="3855" w:type="dxa"/>
          </w:tcPr>
          <w:p w14:paraId="2078A0F5" w14:textId="77777777" w:rsidR="008858AD" w:rsidRDefault="008858AD" w:rsidP="008858AD">
            <w:pPr>
              <w:pStyle w:val="ConsPlusNormal"/>
            </w:pPr>
            <w:r>
              <w:t>Наименование бюджетного, автономного учреждения,</w:t>
            </w:r>
          </w:p>
        </w:tc>
        <w:tc>
          <w:tcPr>
            <w:tcW w:w="2778" w:type="dxa"/>
            <w:tcBorders>
              <w:top w:val="single" w:sz="4" w:space="0" w:color="auto"/>
            </w:tcBorders>
          </w:tcPr>
          <w:p w14:paraId="4EC398DE" w14:textId="77777777" w:rsidR="008858AD" w:rsidRDefault="008858AD" w:rsidP="008858AD">
            <w:pPr>
              <w:pStyle w:val="ConsPlusNormal"/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40CC4986" w14:textId="77777777" w:rsidR="008858AD" w:rsidRDefault="008858AD" w:rsidP="008858AD">
            <w:pPr>
              <w:pStyle w:val="ConsPlusNormal"/>
              <w:jc w:val="right"/>
            </w:pPr>
            <w:r>
              <w:t>ИНН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8174" w14:textId="77777777" w:rsidR="008858AD" w:rsidRDefault="008858AD" w:rsidP="008858AD">
            <w:pPr>
              <w:pStyle w:val="ConsPlusNormal"/>
            </w:pPr>
          </w:p>
        </w:tc>
      </w:tr>
      <w:tr w:rsidR="008858AD" w14:paraId="434BFCF7" w14:textId="77777777" w:rsidTr="004B6D67">
        <w:tc>
          <w:tcPr>
            <w:tcW w:w="3855" w:type="dxa"/>
          </w:tcPr>
          <w:p w14:paraId="283160F7" w14:textId="77777777" w:rsidR="008858AD" w:rsidRDefault="008858AD" w:rsidP="008858AD">
            <w:pPr>
              <w:pStyle w:val="ConsPlusNormal"/>
            </w:pPr>
            <w:r>
              <w:t xml:space="preserve">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  <w:hyperlink w:anchor="Par438" w:tooltip="&lt;1&gt; Указывается в случае передачи в соответствии с Бюджетным кодексом Российской Федерации бюджетному, автономному учреждению, государственному, муниципальному унитарному предприятию, иному юридическому лицу полномочий государственного, муниципального заказчик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778" w:type="dxa"/>
            <w:tcBorders>
              <w:bottom w:val="single" w:sz="4" w:space="0" w:color="auto"/>
            </w:tcBorders>
          </w:tcPr>
          <w:p w14:paraId="0961AAEA" w14:textId="77777777" w:rsidR="008858AD" w:rsidRDefault="008858AD" w:rsidP="008858AD">
            <w:pPr>
              <w:pStyle w:val="ConsPlusNormal"/>
            </w:pPr>
          </w:p>
        </w:tc>
        <w:tc>
          <w:tcPr>
            <w:tcW w:w="1361" w:type="dxa"/>
            <w:tcBorders>
              <w:right w:val="single" w:sz="4" w:space="0" w:color="auto"/>
            </w:tcBorders>
            <w:vAlign w:val="bottom"/>
          </w:tcPr>
          <w:p w14:paraId="02E69BEB" w14:textId="77777777" w:rsidR="008858AD" w:rsidRDefault="008858AD" w:rsidP="008858AD">
            <w:pPr>
              <w:pStyle w:val="ConsPlusNormal"/>
              <w:jc w:val="right"/>
            </w:pPr>
            <w:r>
              <w:t>КПП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82FBB" w14:textId="77777777" w:rsidR="008858AD" w:rsidRDefault="008858AD" w:rsidP="008858AD">
            <w:pPr>
              <w:pStyle w:val="ConsPlusNormal"/>
            </w:pPr>
          </w:p>
        </w:tc>
      </w:tr>
      <w:tr w:rsidR="008858AD" w14:paraId="22BEEFDE" w14:textId="77777777" w:rsidTr="004B6D67">
        <w:tc>
          <w:tcPr>
            <w:tcW w:w="3855" w:type="dxa"/>
          </w:tcPr>
          <w:p w14:paraId="55346D04" w14:textId="77777777" w:rsidR="008858AD" w:rsidRDefault="008858AD" w:rsidP="008858AD">
            <w:pPr>
              <w:pStyle w:val="ConsPlusNormal"/>
            </w:pPr>
            <w:r>
              <w:t xml:space="preserve">Место нахождения, телефон, адрес электронной почты </w:t>
            </w:r>
            <w:hyperlink w:anchor="Par438" w:tooltip="&lt;1&gt; Указывается в случае передачи в соответствии с Бюджетным кодексом Российской Федерации бюджетному, автономному учреждению, государственному, муниципальному унитарному предприятию, иному юридическому лицу полномочий государственного, муниципального заказчик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778" w:type="dxa"/>
            <w:tcBorders>
              <w:top w:val="single" w:sz="4" w:space="0" w:color="auto"/>
              <w:bottom w:val="single" w:sz="4" w:space="0" w:color="auto"/>
            </w:tcBorders>
          </w:tcPr>
          <w:p w14:paraId="574711C3" w14:textId="77777777" w:rsidR="008858AD" w:rsidRDefault="008858AD" w:rsidP="008858AD">
            <w:pPr>
              <w:pStyle w:val="ConsPlusNormal"/>
            </w:pPr>
          </w:p>
        </w:tc>
        <w:tc>
          <w:tcPr>
            <w:tcW w:w="136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5C81417A" w14:textId="77777777" w:rsidR="008858AD" w:rsidRDefault="008858AD" w:rsidP="008858AD">
            <w:pPr>
              <w:pStyle w:val="ConsPlusNormal"/>
              <w:jc w:val="right"/>
            </w:pPr>
            <w:r>
              <w:t xml:space="preserve">по </w:t>
            </w:r>
            <w:hyperlink r:id="rId8" w:history="1">
              <w:r>
                <w:rPr>
                  <w:color w:val="0000FF"/>
                </w:rPr>
                <w:t>ОКТМО</w:t>
              </w:r>
            </w:hyperlink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9C4C7" w14:textId="77777777" w:rsidR="008858AD" w:rsidRDefault="008858AD" w:rsidP="008858AD">
            <w:pPr>
              <w:pStyle w:val="ConsPlusNormal"/>
            </w:pPr>
          </w:p>
        </w:tc>
      </w:tr>
      <w:tr w:rsidR="00D54F63" w14:paraId="7F87A3F1" w14:textId="77777777" w:rsidTr="00D4560E">
        <w:trPr>
          <w:trHeight w:val="517"/>
        </w:trPr>
        <w:tc>
          <w:tcPr>
            <w:tcW w:w="3855" w:type="dxa"/>
            <w:vAlign w:val="bottom"/>
          </w:tcPr>
          <w:p w14:paraId="1204EEDE" w14:textId="77777777" w:rsidR="00D54F63" w:rsidRDefault="00D54F63" w:rsidP="008858AD">
            <w:pPr>
              <w:pStyle w:val="ConsPlusNormal"/>
            </w:pPr>
            <w:r>
              <w:t>Наименование объекта закупки</w:t>
            </w:r>
          </w:p>
        </w:tc>
        <w:tc>
          <w:tcPr>
            <w:tcW w:w="56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1F6D9" w14:textId="4B3D0A37" w:rsidR="00D54F63" w:rsidRDefault="00053704" w:rsidP="008864DB">
            <w:pPr>
              <w:pStyle w:val="ConsPlusNormal"/>
              <w:jc w:val="both"/>
            </w:pPr>
            <w:r w:rsidRPr="00053704">
              <w:t xml:space="preserve">Текущий ремонт дорог в п. Рожкао, ул. Центральная и с. </w:t>
            </w:r>
            <w:proofErr w:type="spellStart"/>
            <w:r w:rsidRPr="00053704">
              <w:t>Курджиново</w:t>
            </w:r>
            <w:proofErr w:type="spellEnd"/>
            <w:r w:rsidRPr="00053704">
              <w:t>, пер. Базарный</w:t>
            </w:r>
          </w:p>
        </w:tc>
      </w:tr>
    </w:tbl>
    <w:p w14:paraId="11A94ED6" w14:textId="77777777" w:rsidR="008858AD" w:rsidRDefault="008858AD" w:rsidP="008858AD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8858AD" w14:paraId="309EE80C" w14:textId="77777777" w:rsidTr="00541A99">
        <w:tc>
          <w:tcPr>
            <w:tcW w:w="9014" w:type="dxa"/>
          </w:tcPr>
          <w:p w14:paraId="27422C01" w14:textId="77777777" w:rsidR="008858AD" w:rsidRDefault="008858AD" w:rsidP="008858AD">
            <w:pPr>
              <w:pStyle w:val="ConsPlusNormal"/>
              <w:jc w:val="center"/>
              <w:outlineLvl w:val="2"/>
            </w:pPr>
            <w:bookmarkStart w:id="1" w:name="Par306"/>
            <w:bookmarkEnd w:id="1"/>
            <w:r>
              <w:t>II. Критерии и показатели оценки заявок на участие в закупке</w:t>
            </w:r>
          </w:p>
        </w:tc>
      </w:tr>
    </w:tbl>
    <w:p w14:paraId="5B38EB5A" w14:textId="77777777" w:rsidR="008858AD" w:rsidRDefault="008858AD" w:rsidP="008858AD">
      <w:pPr>
        <w:pStyle w:val="ConsPlusNormal"/>
        <w:jc w:val="both"/>
      </w:pPr>
    </w:p>
    <w:p w14:paraId="31A9B11D" w14:textId="77777777" w:rsidR="008858AD" w:rsidRDefault="008858AD" w:rsidP="008858AD">
      <w:pPr>
        <w:pStyle w:val="ConsPlusNormal"/>
        <w:sectPr w:rsidR="008858AD" w:rsidSect="007E26DE">
          <w:pgSz w:w="11906" w:h="16838"/>
          <w:pgMar w:top="709" w:right="566" w:bottom="1440" w:left="1133" w:header="0" w:footer="0" w:gutter="0"/>
          <w:cols w:space="720"/>
          <w:noEndnote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925"/>
        <w:gridCol w:w="850"/>
        <w:gridCol w:w="1882"/>
        <w:gridCol w:w="850"/>
        <w:gridCol w:w="2256"/>
        <w:gridCol w:w="1277"/>
        <w:gridCol w:w="4252"/>
      </w:tblGrid>
      <w:tr w:rsidR="008858AD" w14:paraId="3F4D044E" w14:textId="77777777" w:rsidTr="00221ECB">
        <w:tc>
          <w:tcPr>
            <w:tcW w:w="454" w:type="dxa"/>
          </w:tcPr>
          <w:p w14:paraId="55FC8212" w14:textId="77777777" w:rsidR="008858AD" w:rsidRDefault="008858AD" w:rsidP="008858AD">
            <w:pPr>
              <w:pStyle w:val="ConsPlusNormal"/>
              <w:jc w:val="center"/>
            </w:pPr>
            <w:r>
              <w:lastRenderedPageBreak/>
              <w:t>N</w:t>
            </w:r>
          </w:p>
        </w:tc>
        <w:tc>
          <w:tcPr>
            <w:tcW w:w="1925" w:type="dxa"/>
          </w:tcPr>
          <w:p w14:paraId="5316D2E4" w14:textId="77777777" w:rsidR="008858AD" w:rsidRDefault="008858AD" w:rsidP="008858AD">
            <w:pPr>
              <w:pStyle w:val="ConsPlusNormal"/>
              <w:jc w:val="center"/>
            </w:pPr>
            <w:r>
              <w:t>Критерий оценки</w:t>
            </w:r>
          </w:p>
        </w:tc>
        <w:tc>
          <w:tcPr>
            <w:tcW w:w="850" w:type="dxa"/>
          </w:tcPr>
          <w:p w14:paraId="2DA55350" w14:textId="77777777" w:rsidR="008858AD" w:rsidRDefault="008858AD" w:rsidP="008858AD">
            <w:pPr>
              <w:pStyle w:val="ConsPlusNormal"/>
              <w:jc w:val="center"/>
            </w:pPr>
            <w:r>
              <w:t>Значимость критерия оценки, процентов</w:t>
            </w:r>
          </w:p>
        </w:tc>
        <w:tc>
          <w:tcPr>
            <w:tcW w:w="1882" w:type="dxa"/>
          </w:tcPr>
          <w:p w14:paraId="3A79FFC7" w14:textId="77777777" w:rsidR="008858AD" w:rsidRDefault="008858AD" w:rsidP="008858AD">
            <w:pPr>
              <w:pStyle w:val="ConsPlusNormal"/>
              <w:jc w:val="center"/>
            </w:pPr>
            <w:r>
              <w:t>Показатель оценки</w:t>
            </w:r>
          </w:p>
        </w:tc>
        <w:tc>
          <w:tcPr>
            <w:tcW w:w="850" w:type="dxa"/>
          </w:tcPr>
          <w:p w14:paraId="7556355B" w14:textId="77777777" w:rsidR="008858AD" w:rsidRDefault="008858AD" w:rsidP="008858AD">
            <w:pPr>
              <w:pStyle w:val="ConsPlusNormal"/>
              <w:jc w:val="center"/>
            </w:pPr>
            <w:r>
              <w:t>Значимость показателя оценки, процентов</w:t>
            </w:r>
          </w:p>
        </w:tc>
        <w:tc>
          <w:tcPr>
            <w:tcW w:w="2256" w:type="dxa"/>
          </w:tcPr>
          <w:p w14:paraId="0749C984" w14:textId="77777777" w:rsidR="008858AD" w:rsidRDefault="008858AD" w:rsidP="008858AD">
            <w:pPr>
              <w:pStyle w:val="ConsPlusNormal"/>
              <w:jc w:val="center"/>
            </w:pPr>
            <w:r>
              <w:t>Показатель оценки, детализирующий показатель оценки</w:t>
            </w:r>
          </w:p>
        </w:tc>
        <w:tc>
          <w:tcPr>
            <w:tcW w:w="1277" w:type="dxa"/>
          </w:tcPr>
          <w:p w14:paraId="34C47E55" w14:textId="77777777" w:rsidR="008858AD" w:rsidRDefault="008858AD" w:rsidP="008858AD">
            <w:pPr>
              <w:pStyle w:val="ConsPlusNormal"/>
              <w:jc w:val="center"/>
            </w:pPr>
            <w:r>
              <w:t>Значимость показателя, детализирующего показатель оценки, процентов</w:t>
            </w:r>
          </w:p>
        </w:tc>
        <w:tc>
          <w:tcPr>
            <w:tcW w:w="4252" w:type="dxa"/>
          </w:tcPr>
          <w:p w14:paraId="712F5140" w14:textId="77777777" w:rsidR="008858AD" w:rsidRDefault="008858AD" w:rsidP="008858AD">
            <w:pPr>
              <w:pStyle w:val="ConsPlusNormal"/>
              <w:jc w:val="center"/>
            </w:pPr>
            <w:r>
              <w:t>Формула оценки или шкала оценки</w:t>
            </w:r>
          </w:p>
        </w:tc>
      </w:tr>
      <w:tr w:rsidR="008858AD" w14:paraId="7DFFB9A9" w14:textId="77777777" w:rsidTr="00221ECB">
        <w:tc>
          <w:tcPr>
            <w:tcW w:w="454" w:type="dxa"/>
          </w:tcPr>
          <w:p w14:paraId="08AAE826" w14:textId="77777777" w:rsidR="008858AD" w:rsidRDefault="008858AD" w:rsidP="008858A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925" w:type="dxa"/>
          </w:tcPr>
          <w:p w14:paraId="1F98BC0B" w14:textId="77777777" w:rsidR="008858AD" w:rsidRDefault="008858AD" w:rsidP="008858AD">
            <w:pPr>
              <w:pStyle w:val="ConsPlusNormal"/>
            </w:pPr>
            <w:r>
              <w:t>Цена контракта, сумма цен единиц товара, работы, услуги</w:t>
            </w:r>
          </w:p>
        </w:tc>
        <w:tc>
          <w:tcPr>
            <w:tcW w:w="850" w:type="dxa"/>
          </w:tcPr>
          <w:p w14:paraId="4172BB5A" w14:textId="31A5B161" w:rsidR="008858AD" w:rsidRDefault="0008345E" w:rsidP="008858A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882" w:type="dxa"/>
          </w:tcPr>
          <w:p w14:paraId="698A3EDD" w14:textId="77777777" w:rsidR="008858AD" w:rsidRDefault="008858AD" w:rsidP="008858A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</w:tcPr>
          <w:p w14:paraId="779A95F3" w14:textId="77777777" w:rsidR="008858AD" w:rsidRDefault="008858AD" w:rsidP="008858A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56" w:type="dxa"/>
          </w:tcPr>
          <w:p w14:paraId="00777A2D" w14:textId="77777777" w:rsidR="008858AD" w:rsidRDefault="008858AD" w:rsidP="008858A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77" w:type="dxa"/>
          </w:tcPr>
          <w:p w14:paraId="0296BD3C" w14:textId="77777777" w:rsidR="008858AD" w:rsidRDefault="008858AD" w:rsidP="008858A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4252" w:type="dxa"/>
          </w:tcPr>
          <w:p w14:paraId="6BE652B4" w14:textId="77777777" w:rsidR="008858AD" w:rsidRDefault="008858AD" w:rsidP="00243DB5">
            <w:pPr>
              <w:pStyle w:val="ConsPlusNormal"/>
              <w:jc w:val="both"/>
            </w:pPr>
            <w:r>
              <w:t xml:space="preserve">оценка заявок осуществляется по формулам, предусмотренным </w:t>
            </w:r>
            <w:hyperlink w:anchor="Par80" w:tooltip="9. Значение количества баллов по критерию оценки &quot;цена контракта, сумма цен единиц товара, работы, услуги&quot;, присваиваемое заявке, которая подлежит в соответствии с Федеральным законом оценке по указанному критерию оценки, (БЦi) определяется по формуле:" w:history="1">
              <w:r>
                <w:rPr>
                  <w:color w:val="0000FF"/>
                </w:rPr>
                <w:t>пунктами 9</w:t>
              </w:r>
            </w:hyperlink>
            <w:r>
              <w:t xml:space="preserve"> или </w:t>
            </w:r>
            <w:hyperlink w:anchor="Par87" w:tooltip="10. Если при проведении процедуры подачи предложений о цене контракта либо о сумме цен единиц товара, работы, услуги (в случае, предусмотренном частью 24 статьи 22 Федерального закона) в соответствии с Федеральным законом подано ценовое предложение, предусматр" w:history="1">
              <w:r>
                <w:rPr>
                  <w:color w:val="0000FF"/>
                </w:rPr>
                <w:t>10</w:t>
              </w:r>
            </w:hyperlink>
            <w:r>
              <w:t xml:space="preserve"> Положения об оценке заявок на участие в закупке товаров, работ, услуг для обеспечения государственных и муниципальных нужд, утвержденного постановлением Правительства Российской Федерации от 31 декабря 2021 г. N 2604 "Об оценке заявок на участие в закупке товаров, работ, услуг для обеспечения государственных и муниципальных нужд, внесении изменений в пункт 4 постановления Правительства Российской Федерации от 20 декабря 2021 г. N 2369 и признании утратившими силу некоторых актов и отдельных положений некоторых актов Правительства Российской Федерации" (далее - Положение)</w:t>
            </w:r>
          </w:p>
        </w:tc>
      </w:tr>
      <w:tr w:rsidR="003A0F36" w14:paraId="012370D5" w14:textId="77777777" w:rsidTr="00235EDB">
        <w:trPr>
          <w:trHeight w:val="2236"/>
        </w:trPr>
        <w:tc>
          <w:tcPr>
            <w:tcW w:w="454" w:type="dxa"/>
          </w:tcPr>
          <w:p w14:paraId="07CED257" w14:textId="1031F6DA" w:rsidR="003A0F36" w:rsidRDefault="003A0F36" w:rsidP="008858AD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1925" w:type="dxa"/>
          </w:tcPr>
          <w:p w14:paraId="246816F8" w14:textId="77777777" w:rsidR="003A0F36" w:rsidRDefault="003A0F36" w:rsidP="002372FE">
            <w:pPr>
              <w:pStyle w:val="ConsPlusNormal"/>
              <w:jc w:val="both"/>
            </w:pPr>
            <w:r>
              <w:t>Квалификация участников закупки, в том числе наличие у них финансовых ресурсов, оборудования и других материальных ресурсов на праве собственности или ином законном основании, опыта работы, связанного с предметом контракта, и деловой репутации, специалистов и иных работников определенного уровня квалификации</w:t>
            </w:r>
          </w:p>
        </w:tc>
        <w:tc>
          <w:tcPr>
            <w:tcW w:w="850" w:type="dxa"/>
          </w:tcPr>
          <w:p w14:paraId="4845E6E2" w14:textId="3CBEA73D" w:rsidR="003A0F36" w:rsidRDefault="003A0F36" w:rsidP="008858A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882" w:type="dxa"/>
          </w:tcPr>
          <w:p w14:paraId="3CB74E2F" w14:textId="338D50F8" w:rsidR="003A0F36" w:rsidRDefault="003A0F36" w:rsidP="008858AD">
            <w:pPr>
              <w:pStyle w:val="ConsPlusNormal"/>
            </w:pPr>
            <w:r>
              <w:t>наличие у участников закупки опыта работы, связанного с предметом контракта</w:t>
            </w:r>
          </w:p>
        </w:tc>
        <w:tc>
          <w:tcPr>
            <w:tcW w:w="850" w:type="dxa"/>
          </w:tcPr>
          <w:p w14:paraId="5F3F31FF" w14:textId="3836FA68" w:rsidR="003A0F36" w:rsidRDefault="003A0F36" w:rsidP="008858A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256" w:type="dxa"/>
          </w:tcPr>
          <w:p w14:paraId="166DE413" w14:textId="6ECA8996" w:rsidR="003A0F36" w:rsidRDefault="00B3243C" w:rsidP="00307298">
            <w:pPr>
              <w:pStyle w:val="ConsPlusNormal"/>
              <w:jc w:val="both"/>
            </w:pPr>
            <w:r w:rsidRPr="00B3243C">
              <w:t xml:space="preserve">характеристика квалификации участников закупки N 1 </w:t>
            </w:r>
            <w:r w:rsidR="003A0F36">
              <w:t>(общая цена исполненных участником закупки договоров)</w:t>
            </w:r>
          </w:p>
        </w:tc>
        <w:tc>
          <w:tcPr>
            <w:tcW w:w="1277" w:type="dxa"/>
          </w:tcPr>
          <w:p w14:paraId="10D3579D" w14:textId="06040D85" w:rsidR="003A0F36" w:rsidRDefault="0008739B" w:rsidP="008858A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4252" w:type="dxa"/>
          </w:tcPr>
          <w:p w14:paraId="67951759" w14:textId="77777777" w:rsidR="003A0F36" w:rsidRDefault="00854E90" w:rsidP="00711003">
            <w:pPr>
              <w:pStyle w:val="ConsPlusNormal"/>
              <w:jc w:val="both"/>
              <w:rPr>
                <w:noProof/>
              </w:rPr>
            </w:pPr>
            <w:r>
              <w:rPr>
                <w:noProof/>
              </w:rPr>
              <w:t>Оценка производится в соответсвии с подпунктом «б» пункта 20 Положения, по формуле:</w:t>
            </w:r>
          </w:p>
          <w:p w14:paraId="407A32B3" w14:textId="77777777" w:rsidR="00854E90" w:rsidRDefault="00854E90" w:rsidP="008858AD">
            <w:pPr>
              <w:pStyle w:val="ConsPlusNormal"/>
              <w:jc w:val="center"/>
            </w:pPr>
            <w:r>
              <w:rPr>
                <w:noProof/>
              </w:rPr>
              <w:drawing>
                <wp:inline distT="0" distB="0" distL="0" distR="0" wp14:anchorId="3DD31BD7" wp14:editId="73716630">
                  <wp:extent cx="1926590" cy="3721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6590" cy="3721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4109AF7" w14:textId="1A5AEDD8" w:rsidR="00854E90" w:rsidRDefault="00854E90" w:rsidP="00854E90">
            <w:pPr>
              <w:pStyle w:val="ConsPlusNormal"/>
              <w:jc w:val="both"/>
            </w:pPr>
            <w:proofErr w:type="spellStart"/>
            <w:r>
              <w:t>Хmax</w:t>
            </w:r>
            <w:proofErr w:type="spellEnd"/>
            <w:r>
              <w:t xml:space="preserve"> - максимальное значение характеристики объекта закупки, содержащееся в заявках (частях заявок), подлежащих в соответствии с Федеральным законом оценке по критерию оценки "</w:t>
            </w:r>
            <w:r w:rsidR="00035816" w:rsidRPr="00035816">
              <w:t>квалификация участников закупки</w:t>
            </w:r>
            <w:r>
              <w:t>";</w:t>
            </w:r>
          </w:p>
          <w:p w14:paraId="67E93254" w14:textId="426DADA6" w:rsidR="00854E90" w:rsidRDefault="00854E90" w:rsidP="00854E90">
            <w:pPr>
              <w:pStyle w:val="ConsPlusNormal"/>
              <w:jc w:val="both"/>
            </w:pPr>
            <w:proofErr w:type="spellStart"/>
            <w:r>
              <w:t>Хi</w:t>
            </w:r>
            <w:proofErr w:type="spellEnd"/>
            <w:r>
              <w:t xml:space="preserve"> - значение характеристики объекта закупки, содержащееся в предложении участника закупки, заявка (часть заявки) которого подлежит в соответствии с Федеральным законом оценке по критерию оценки "</w:t>
            </w:r>
            <w:r w:rsidR="00035816" w:rsidRPr="00035816">
              <w:t>квалификация участников закупки</w:t>
            </w:r>
            <w:r>
              <w:t>";</w:t>
            </w:r>
          </w:p>
          <w:p w14:paraId="16D4EA0B" w14:textId="19BBF023" w:rsidR="00854E90" w:rsidRDefault="00854E90" w:rsidP="00854E90">
            <w:pPr>
              <w:pStyle w:val="ConsPlusNormal"/>
              <w:jc w:val="both"/>
            </w:pPr>
            <w:proofErr w:type="spellStart"/>
            <w:r>
              <w:t>Хmin</w:t>
            </w:r>
            <w:proofErr w:type="spellEnd"/>
            <w:r>
              <w:t xml:space="preserve"> - минимальное значение характеристики объекта закупки, содержащееся в заявках (частях заявок), подлежащих в соответствии с Федеральным законом оценке по критерию оценки "</w:t>
            </w:r>
            <w:r w:rsidR="00035816" w:rsidRPr="00035816">
              <w:t>квалификация участников закупки</w:t>
            </w:r>
            <w:r>
              <w:t>";</w:t>
            </w:r>
          </w:p>
        </w:tc>
      </w:tr>
    </w:tbl>
    <w:p w14:paraId="5C75C400" w14:textId="77777777" w:rsidR="008858AD" w:rsidRDefault="008858AD" w:rsidP="008858AD">
      <w:pPr>
        <w:pStyle w:val="ConsPlusNormal"/>
        <w:sectPr w:rsidR="008858AD" w:rsidSect="007E26DE">
          <w:headerReference w:type="default" r:id="rId10"/>
          <w:footerReference w:type="default" r:id="rId11"/>
          <w:pgSz w:w="16838" w:h="11906" w:orient="landscape"/>
          <w:pgMar w:top="567" w:right="1440" w:bottom="566" w:left="1440" w:header="0" w:footer="0" w:gutter="0"/>
          <w:cols w:space="720"/>
          <w:noEndnote/>
        </w:sectPr>
      </w:pPr>
    </w:p>
    <w:tbl>
      <w:tblPr>
        <w:tblW w:w="10207" w:type="dxa"/>
        <w:tblInd w:w="-70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8"/>
        <w:gridCol w:w="3898"/>
        <w:gridCol w:w="5662"/>
        <w:gridCol w:w="9"/>
      </w:tblGrid>
      <w:tr w:rsidR="008858AD" w14:paraId="13BC7278" w14:textId="77777777" w:rsidTr="001D4159">
        <w:trPr>
          <w:gridAfter w:val="1"/>
          <w:wAfter w:w="9" w:type="dxa"/>
        </w:trPr>
        <w:tc>
          <w:tcPr>
            <w:tcW w:w="10198" w:type="dxa"/>
            <w:gridSpan w:val="3"/>
          </w:tcPr>
          <w:p w14:paraId="1DF67A3F" w14:textId="77777777" w:rsidR="008858AD" w:rsidRDefault="008858AD" w:rsidP="008858AD">
            <w:pPr>
              <w:pStyle w:val="ConsPlusNormal"/>
              <w:jc w:val="center"/>
              <w:outlineLvl w:val="2"/>
            </w:pPr>
            <w:bookmarkStart w:id="2" w:name="Par425"/>
            <w:bookmarkEnd w:id="2"/>
            <w:r>
              <w:lastRenderedPageBreak/>
              <w:t xml:space="preserve">III. Отдельные положения о применении отдельных критериев оценки, показателей оценки и показателей оценки, детализирующих показатели оценки, предусмотренных </w:t>
            </w:r>
            <w:hyperlink w:anchor="Par306" w:tooltip="II. Критерии и показатели оценки заявок на участие в закупке" w:history="1">
              <w:r>
                <w:rPr>
                  <w:color w:val="0000FF"/>
                </w:rPr>
                <w:t>разделом II</w:t>
              </w:r>
            </w:hyperlink>
            <w:r>
              <w:t xml:space="preserve"> настоящего документа</w:t>
            </w:r>
          </w:p>
        </w:tc>
      </w:tr>
      <w:tr w:rsidR="008858AD" w14:paraId="65323DF7" w14:textId="77777777" w:rsidTr="001D4159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5A294" w14:textId="77777777" w:rsidR="008858AD" w:rsidRDefault="008858AD" w:rsidP="008858AD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AE8E0" w14:textId="77777777" w:rsidR="008858AD" w:rsidRDefault="008858AD" w:rsidP="008858AD">
            <w:pPr>
              <w:pStyle w:val="ConsPlusNormal"/>
              <w:jc w:val="center"/>
            </w:pPr>
            <w:r>
              <w:t xml:space="preserve">Наименование критерия оценки, показателя оценки, показателя оценки, детализирующего показатель оценки, при применении которого устанавливается положение, предусмотренное </w:t>
            </w:r>
            <w:hyperlink w:anchor="Par432" w:tooltip="3" w:history="1">
              <w:r>
                <w:rPr>
                  <w:color w:val="0000FF"/>
                </w:rPr>
                <w:t>графой 3</w:t>
              </w:r>
            </w:hyperlink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9C6F" w14:textId="77777777" w:rsidR="008858AD" w:rsidRDefault="008858AD" w:rsidP="008858AD">
            <w:pPr>
              <w:pStyle w:val="ConsPlusNormal"/>
              <w:jc w:val="center"/>
            </w:pPr>
            <w:r>
              <w:t>Положение о применения критерия оценки, показателя оценки, показателя оценки, детализирующего показатель оценки</w:t>
            </w:r>
          </w:p>
        </w:tc>
      </w:tr>
      <w:tr w:rsidR="008858AD" w14:paraId="7F84CF70" w14:textId="77777777" w:rsidTr="001D4159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1F4C" w14:textId="77777777" w:rsidR="008858AD" w:rsidRDefault="008858AD" w:rsidP="008858A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D7608" w14:textId="77777777" w:rsidR="008858AD" w:rsidRDefault="008858AD" w:rsidP="008858AD">
            <w:pPr>
              <w:pStyle w:val="ConsPlusNormal"/>
              <w:jc w:val="center"/>
            </w:pPr>
            <w:bookmarkStart w:id="3" w:name="Par431"/>
            <w:bookmarkEnd w:id="3"/>
            <w:r>
              <w:t>2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FF6D" w14:textId="77777777" w:rsidR="008858AD" w:rsidRDefault="008858AD" w:rsidP="008858AD">
            <w:pPr>
              <w:pStyle w:val="ConsPlusNormal"/>
              <w:jc w:val="center"/>
            </w:pPr>
            <w:bookmarkStart w:id="4" w:name="Par432"/>
            <w:bookmarkEnd w:id="4"/>
            <w:r>
              <w:t>3</w:t>
            </w:r>
          </w:p>
        </w:tc>
      </w:tr>
      <w:tr w:rsidR="00E52069" w14:paraId="05DA5950" w14:textId="77777777" w:rsidTr="001D4159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6E989" w14:textId="632A047B" w:rsidR="00E52069" w:rsidRDefault="00E52069" w:rsidP="00E5206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5AB63" w14:textId="66044C12" w:rsidR="00E52069" w:rsidRDefault="00E52069" w:rsidP="00E52069">
            <w:pPr>
              <w:pStyle w:val="ConsPlusNormal"/>
              <w:jc w:val="both"/>
            </w:pPr>
            <w:r w:rsidRPr="009E681E">
              <w:rPr>
                <w:b/>
                <w:bCs/>
              </w:rPr>
              <w:t>Критерий оценки:</w:t>
            </w:r>
            <w:r>
              <w:t xml:space="preserve"> </w:t>
            </w:r>
            <w:r w:rsidRPr="002E54CD">
              <w:t>Квалификация участников закупки, в том числе наличие у них финансовых ресурсов, оборудования и других материальных ресурсов на праве собственности или ином законном основании, опыта работы, связанного с предметом контракта, и деловой репутации, специалистов и иных работников определенного уровня квалификации</w:t>
            </w:r>
          </w:p>
          <w:p w14:paraId="45A3DE73" w14:textId="3733B6E3" w:rsidR="00E52069" w:rsidRDefault="00E52069" w:rsidP="00E52069">
            <w:pPr>
              <w:pStyle w:val="ConsPlusNormal"/>
              <w:jc w:val="both"/>
            </w:pPr>
            <w:r w:rsidRPr="009E681E">
              <w:rPr>
                <w:b/>
                <w:bCs/>
              </w:rPr>
              <w:t>Показатель оценки:</w:t>
            </w:r>
            <w:r>
              <w:t xml:space="preserve"> Н</w:t>
            </w:r>
            <w:r w:rsidRPr="002E54CD">
              <w:t>аличие у участников закупки опыта работы, связанного с предметом контракта</w:t>
            </w:r>
          </w:p>
          <w:p w14:paraId="7B09EB55" w14:textId="4700E6F0" w:rsidR="00E52069" w:rsidRDefault="00E52069" w:rsidP="00E52069">
            <w:pPr>
              <w:pStyle w:val="ConsPlusNormal"/>
              <w:jc w:val="both"/>
            </w:pPr>
            <w:r w:rsidRPr="009E681E">
              <w:rPr>
                <w:b/>
                <w:bCs/>
              </w:rPr>
              <w:t>Детализирующий показатель оценки:</w:t>
            </w:r>
            <w:r>
              <w:t xml:space="preserve"> О</w:t>
            </w:r>
            <w:r w:rsidRPr="00300810">
              <w:t>бщая цена исполненных участником закупки договоров</w:t>
            </w:r>
          </w:p>
        </w:tc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6D32" w14:textId="77777777" w:rsidR="00E52069" w:rsidRDefault="00E52069" w:rsidP="00E52069">
            <w:pPr>
              <w:pStyle w:val="ConsPlusNormal"/>
              <w:jc w:val="both"/>
            </w:pPr>
            <w:r w:rsidRPr="00396C18">
              <w:t xml:space="preserve">К оценке принимается исключительно исполненный договор (договоры), предусматривающий выполнение работ </w:t>
            </w:r>
            <w:r w:rsidRPr="004E7018">
              <w:t>по ремонту, содержанию, капитальному ремонту, строительству, реконструкции автомобильной дороги</w:t>
            </w:r>
            <w:r>
              <w:t>.</w:t>
            </w:r>
          </w:p>
          <w:p w14:paraId="52F2D893" w14:textId="77777777" w:rsidR="00E52069" w:rsidRDefault="00E52069" w:rsidP="00E52069">
            <w:pPr>
              <w:pStyle w:val="ConsPlusNormal"/>
              <w:jc w:val="both"/>
            </w:pPr>
            <w:r>
              <w:t>К</w:t>
            </w:r>
            <w:r w:rsidRPr="004E7018">
              <w:t xml:space="preserve"> рассмотрению принимаются документы, предусмотренные абзацем третьим подпункта "в" пункта 28 Постановления Правительства РФ от 31.12.2021 N 2604, в том числе если к ним не приложена проектная документация (если проектная документация является приложением к таким документам).</w:t>
            </w:r>
          </w:p>
          <w:p w14:paraId="496B6F32" w14:textId="77777777" w:rsidR="00E52069" w:rsidRDefault="00E52069" w:rsidP="00E52069">
            <w:pPr>
              <w:pStyle w:val="ConsPlusNormal"/>
              <w:jc w:val="both"/>
            </w:pPr>
            <w:r>
              <w:t>Перечень документов, подтверждающих наличие у участника закупки опыта выполнения работы, связанного с предметом контракта:</w:t>
            </w:r>
          </w:p>
          <w:p w14:paraId="3995AB4E" w14:textId="77777777" w:rsidR="00E52069" w:rsidRDefault="00E52069" w:rsidP="00E52069">
            <w:pPr>
              <w:pStyle w:val="ConsPlusNormal"/>
              <w:numPr>
                <w:ilvl w:val="0"/>
                <w:numId w:val="2"/>
              </w:numPr>
              <w:ind w:left="0" w:firstLine="0"/>
              <w:jc w:val="both"/>
            </w:pPr>
            <w:r w:rsidRPr="00396C18">
              <w:t xml:space="preserve">исполненный </w:t>
            </w:r>
            <w:r>
              <w:t>контракт</w:t>
            </w:r>
            <w:r w:rsidRPr="00396C18">
              <w:t xml:space="preserve"> (</w:t>
            </w:r>
            <w:r>
              <w:t>контракты</w:t>
            </w:r>
            <w:r w:rsidRPr="00396C18">
              <w:t xml:space="preserve">), </w:t>
            </w:r>
          </w:p>
          <w:p w14:paraId="3DD99685" w14:textId="77777777" w:rsidR="00E52069" w:rsidRDefault="00E52069" w:rsidP="00E52069">
            <w:pPr>
              <w:pStyle w:val="ConsPlusNormal"/>
              <w:numPr>
                <w:ilvl w:val="0"/>
                <w:numId w:val="2"/>
              </w:numPr>
              <w:ind w:left="0" w:firstLine="0"/>
              <w:jc w:val="both"/>
            </w:pPr>
            <w:r w:rsidRPr="00396C18">
              <w:t xml:space="preserve">акт (акты) приемки выполненных работ, составленные при исполнении такого </w:t>
            </w:r>
            <w:r>
              <w:t>контракта</w:t>
            </w:r>
            <w:r w:rsidRPr="00396C18">
              <w:t xml:space="preserve"> (</w:t>
            </w:r>
            <w:r>
              <w:t>контрактов</w:t>
            </w:r>
            <w:r w:rsidRPr="00396C18">
              <w:t>)</w:t>
            </w:r>
            <w:r>
              <w:t>.</w:t>
            </w:r>
          </w:p>
          <w:p w14:paraId="5F703538" w14:textId="77777777" w:rsidR="00E52069" w:rsidRDefault="00E52069" w:rsidP="00E52069">
            <w:pPr>
              <w:pStyle w:val="ConsPlusNormal"/>
              <w:jc w:val="both"/>
            </w:pPr>
            <w:r>
              <w:t>Е</w:t>
            </w:r>
            <w:r w:rsidRPr="005341BF">
              <w:t>сли документы</w:t>
            </w:r>
            <w:r>
              <w:t xml:space="preserve"> </w:t>
            </w:r>
            <w:r w:rsidRPr="005341BF">
              <w:t>и информация о таких документах содержатся в открытых и общедоступных государственных реестрах, размещенных в информационно-телекоммуникационной сети "Интернет", в том числе ведение которых осуществляется в единой информационной системе в сфере закупок с размещением указанных документов на официальном сайте единой информационной системы в сфере закупок в информационно-телекоммуникационной сети "Интернет", вместо направления таких документов участник закупки вправе направить номер реестровой записи из соответствующего реестра.</w:t>
            </w:r>
          </w:p>
          <w:p w14:paraId="6EB69B6E" w14:textId="77777777" w:rsidR="00E52069" w:rsidRDefault="00E52069" w:rsidP="00E52069">
            <w:pPr>
              <w:pStyle w:val="ConsPlusNormal"/>
              <w:jc w:val="both"/>
            </w:pPr>
            <w:r>
              <w:t>К оценке принимаются исключительно исполненный договор (договоры), при исполнении которого поставщиком (подрядчиком, исполнителем) исполнены требования об уплате неустоек (штрафов, пеней) (в случае начисления неустоек).</w:t>
            </w:r>
          </w:p>
          <w:p w14:paraId="6E75AEFD" w14:textId="77777777" w:rsidR="00E52069" w:rsidRDefault="00E52069" w:rsidP="00E52069">
            <w:pPr>
              <w:pStyle w:val="ConsPlusNormal"/>
              <w:jc w:val="both"/>
            </w:pPr>
            <w:r>
              <w:t xml:space="preserve">Последний акт, составленный при исполнении </w:t>
            </w:r>
            <w:r>
              <w:lastRenderedPageBreak/>
              <w:t>договора, должен быть подписан не ранее чем за 5 лет до даты окончания срока подачи заявок.</w:t>
            </w:r>
          </w:p>
          <w:p w14:paraId="33C70CA2" w14:textId="77777777" w:rsidR="00E52069" w:rsidRDefault="00E52069" w:rsidP="00E52069">
            <w:pPr>
              <w:pStyle w:val="ConsPlusNormal"/>
              <w:jc w:val="both"/>
            </w:pPr>
            <w:r>
              <w:t>К</w:t>
            </w:r>
            <w:r w:rsidRPr="00396C18">
              <w:t xml:space="preserve"> оценке принимаются документы, предусмотренные абзацем третьим подпункта "в" пункта</w:t>
            </w:r>
            <w:r>
              <w:t xml:space="preserve"> 28 </w:t>
            </w:r>
            <w:r w:rsidRPr="00396C18">
              <w:t>Постановления Правительства РФ от 31.12.2021 N 2604, в случае их представления в заявке в полном объеме и со всеми приложениями</w:t>
            </w:r>
            <w:r>
              <w:t xml:space="preserve">, </w:t>
            </w:r>
            <w:r w:rsidRPr="00951E96">
              <w:t>за исключением случаев, предусмотренных подпунктом "г" пункта 32 Постановления Правительства РФ от 31.12.2021 N 2604</w:t>
            </w:r>
            <w:r>
              <w:t>.</w:t>
            </w:r>
          </w:p>
          <w:p w14:paraId="763C6BE7" w14:textId="77777777" w:rsidR="00E52069" w:rsidRDefault="00E52069" w:rsidP="00E52069">
            <w:pPr>
              <w:pStyle w:val="ConsPlusNormal"/>
              <w:jc w:val="both"/>
            </w:pPr>
            <w:r w:rsidRPr="00396C18">
              <w:t>При проведении открытого конкурса в электронной форме такие документы направляются в форме электронных документов или в форме электронных образов бумажных документов</w:t>
            </w:r>
            <w:r>
              <w:t>.</w:t>
            </w:r>
          </w:p>
          <w:p w14:paraId="46960F6B" w14:textId="17F3CD69" w:rsidR="00E52069" w:rsidRDefault="00E52069" w:rsidP="00E52069">
            <w:pPr>
              <w:pStyle w:val="ConsPlusNormal"/>
              <w:jc w:val="both"/>
            </w:pPr>
            <w:r w:rsidRPr="00972848">
              <w:t xml:space="preserve">К оценке принимаются исполненные участником закупки с учетом правопреемства (в случае наличия в заявке подтверждающего документа) </w:t>
            </w:r>
            <w:r w:rsidRPr="00E52069">
              <w:t>исключительно контракт, заключенный и исполненный в соответствии с Федеральным законом "О контрактной системе в сфере закупок товаров, работ, услуг для обеспечения государственных и муниципальных нужд" от 05.04.2013 N 44-ФЗ, и договор, заключенный и исполненный в соответствии с Федеральным законом "О закупках товаров, работ, услуг отдельными видами юридических лиц".</w:t>
            </w:r>
          </w:p>
        </w:tc>
      </w:tr>
    </w:tbl>
    <w:p w14:paraId="7AEB3FB1" w14:textId="62C23381" w:rsidR="008858AD" w:rsidRPr="008858AD" w:rsidRDefault="008858AD" w:rsidP="00185CC6">
      <w:pPr>
        <w:pStyle w:val="ConsPlusNormal"/>
        <w:ind w:firstLine="540"/>
        <w:jc w:val="both"/>
      </w:pPr>
      <w:bookmarkStart w:id="5" w:name="Par438"/>
      <w:bookmarkEnd w:id="5"/>
    </w:p>
    <w:sectPr w:rsidR="008858AD" w:rsidRPr="008858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476A6" w14:textId="77777777" w:rsidR="0097424D" w:rsidRDefault="0097424D" w:rsidP="008858AD">
      <w:pPr>
        <w:spacing w:after="0" w:line="240" w:lineRule="auto"/>
      </w:pPr>
      <w:r>
        <w:separator/>
      </w:r>
    </w:p>
  </w:endnote>
  <w:endnote w:type="continuationSeparator" w:id="0">
    <w:p w14:paraId="2F3139D8" w14:textId="77777777" w:rsidR="0097424D" w:rsidRDefault="0097424D" w:rsidP="00885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2841F" w14:textId="77777777" w:rsidR="00F53CC0" w:rsidRDefault="00F53CC0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46DBA27A" w14:textId="77777777" w:rsidR="00F53CC0" w:rsidRDefault="00F53CC0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160FF" w14:textId="77777777" w:rsidR="0097424D" w:rsidRDefault="0097424D" w:rsidP="008858AD">
      <w:pPr>
        <w:spacing w:after="0" w:line="240" w:lineRule="auto"/>
      </w:pPr>
      <w:r>
        <w:separator/>
      </w:r>
    </w:p>
  </w:footnote>
  <w:footnote w:type="continuationSeparator" w:id="0">
    <w:p w14:paraId="03B2A316" w14:textId="77777777" w:rsidR="0097424D" w:rsidRDefault="0097424D" w:rsidP="008858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D43C75" w14:textId="584105FB" w:rsidR="00F53CC0" w:rsidRPr="008858AD" w:rsidRDefault="00F53CC0" w:rsidP="008858A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FE2265"/>
    <w:multiLevelType w:val="hybridMultilevel"/>
    <w:tmpl w:val="1332BF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5A51B0"/>
    <w:multiLevelType w:val="hybridMultilevel"/>
    <w:tmpl w:val="FDF2B5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6308642">
    <w:abstractNumId w:val="0"/>
  </w:num>
  <w:num w:numId="2" w16cid:durableId="14093058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350"/>
    <w:rsid w:val="00003FC8"/>
    <w:rsid w:val="00035816"/>
    <w:rsid w:val="000437DA"/>
    <w:rsid w:val="00053704"/>
    <w:rsid w:val="00060CA3"/>
    <w:rsid w:val="00077FD1"/>
    <w:rsid w:val="0008345E"/>
    <w:rsid w:val="0008739B"/>
    <w:rsid w:val="00095EE7"/>
    <w:rsid w:val="000E092A"/>
    <w:rsid w:val="00110555"/>
    <w:rsid w:val="00136BF6"/>
    <w:rsid w:val="00171F83"/>
    <w:rsid w:val="00172FE3"/>
    <w:rsid w:val="001802B4"/>
    <w:rsid w:val="00185CC6"/>
    <w:rsid w:val="001C18F8"/>
    <w:rsid w:val="001C5331"/>
    <w:rsid w:val="001D4159"/>
    <w:rsid w:val="001D4E74"/>
    <w:rsid w:val="001F75C7"/>
    <w:rsid w:val="00221ECB"/>
    <w:rsid w:val="00225459"/>
    <w:rsid w:val="002339A4"/>
    <w:rsid w:val="002372FE"/>
    <w:rsid w:val="00243DB5"/>
    <w:rsid w:val="00253771"/>
    <w:rsid w:val="002629BD"/>
    <w:rsid w:val="002973A8"/>
    <w:rsid w:val="002A3472"/>
    <w:rsid w:val="002E54CD"/>
    <w:rsid w:val="002F3C74"/>
    <w:rsid w:val="002F62CF"/>
    <w:rsid w:val="00300810"/>
    <w:rsid w:val="00307298"/>
    <w:rsid w:val="00317E73"/>
    <w:rsid w:val="0033350F"/>
    <w:rsid w:val="003336A5"/>
    <w:rsid w:val="00360EAC"/>
    <w:rsid w:val="00363831"/>
    <w:rsid w:val="00363C58"/>
    <w:rsid w:val="00382CA8"/>
    <w:rsid w:val="00396C18"/>
    <w:rsid w:val="003A0F36"/>
    <w:rsid w:val="003B1CF9"/>
    <w:rsid w:val="003B3973"/>
    <w:rsid w:val="003F1C0C"/>
    <w:rsid w:val="003F5F56"/>
    <w:rsid w:val="003F68BA"/>
    <w:rsid w:val="00421224"/>
    <w:rsid w:val="0043217B"/>
    <w:rsid w:val="00456AFA"/>
    <w:rsid w:val="0046325B"/>
    <w:rsid w:val="004750E3"/>
    <w:rsid w:val="004A585B"/>
    <w:rsid w:val="004B6D67"/>
    <w:rsid w:val="004E5B4E"/>
    <w:rsid w:val="004E7018"/>
    <w:rsid w:val="005002E0"/>
    <w:rsid w:val="00506B7A"/>
    <w:rsid w:val="005221CE"/>
    <w:rsid w:val="00542E2D"/>
    <w:rsid w:val="00544B49"/>
    <w:rsid w:val="0057363F"/>
    <w:rsid w:val="005A40BB"/>
    <w:rsid w:val="005A78F7"/>
    <w:rsid w:val="005C16D4"/>
    <w:rsid w:val="005E456C"/>
    <w:rsid w:val="005F210F"/>
    <w:rsid w:val="005F31F0"/>
    <w:rsid w:val="00612C54"/>
    <w:rsid w:val="00613647"/>
    <w:rsid w:val="00650ECB"/>
    <w:rsid w:val="00652834"/>
    <w:rsid w:val="00653976"/>
    <w:rsid w:val="006604B9"/>
    <w:rsid w:val="0066363A"/>
    <w:rsid w:val="00694691"/>
    <w:rsid w:val="006C2951"/>
    <w:rsid w:val="006E373D"/>
    <w:rsid w:val="00701B7B"/>
    <w:rsid w:val="00702945"/>
    <w:rsid w:val="00711003"/>
    <w:rsid w:val="00720262"/>
    <w:rsid w:val="00725554"/>
    <w:rsid w:val="00727E5E"/>
    <w:rsid w:val="00731FA1"/>
    <w:rsid w:val="007375DB"/>
    <w:rsid w:val="00774B58"/>
    <w:rsid w:val="007A53C3"/>
    <w:rsid w:val="007D6839"/>
    <w:rsid w:val="007E26DE"/>
    <w:rsid w:val="00816AD4"/>
    <w:rsid w:val="00827BFF"/>
    <w:rsid w:val="00854E90"/>
    <w:rsid w:val="00881CC8"/>
    <w:rsid w:val="008858AD"/>
    <w:rsid w:val="008864DB"/>
    <w:rsid w:val="00895C28"/>
    <w:rsid w:val="008B3AB2"/>
    <w:rsid w:val="008D2BB6"/>
    <w:rsid w:val="008E207E"/>
    <w:rsid w:val="008E5CA9"/>
    <w:rsid w:val="00901914"/>
    <w:rsid w:val="00910CF9"/>
    <w:rsid w:val="00931666"/>
    <w:rsid w:val="00951E96"/>
    <w:rsid w:val="00956448"/>
    <w:rsid w:val="0097424D"/>
    <w:rsid w:val="0098430F"/>
    <w:rsid w:val="00990025"/>
    <w:rsid w:val="009A0556"/>
    <w:rsid w:val="009A2643"/>
    <w:rsid w:val="009D1779"/>
    <w:rsid w:val="009E681E"/>
    <w:rsid w:val="009F7C9E"/>
    <w:rsid w:val="00A3001B"/>
    <w:rsid w:val="00A41507"/>
    <w:rsid w:val="00A5255B"/>
    <w:rsid w:val="00A9586C"/>
    <w:rsid w:val="00AB02DB"/>
    <w:rsid w:val="00AD3900"/>
    <w:rsid w:val="00AD5977"/>
    <w:rsid w:val="00AF1350"/>
    <w:rsid w:val="00AF3771"/>
    <w:rsid w:val="00B3243C"/>
    <w:rsid w:val="00B33A13"/>
    <w:rsid w:val="00B51224"/>
    <w:rsid w:val="00B77C92"/>
    <w:rsid w:val="00BB0C1E"/>
    <w:rsid w:val="00BC4ACB"/>
    <w:rsid w:val="00BF38A8"/>
    <w:rsid w:val="00BF6054"/>
    <w:rsid w:val="00C00B52"/>
    <w:rsid w:val="00C06902"/>
    <w:rsid w:val="00C35858"/>
    <w:rsid w:val="00C67D59"/>
    <w:rsid w:val="00C70853"/>
    <w:rsid w:val="00C96A0D"/>
    <w:rsid w:val="00CC0044"/>
    <w:rsid w:val="00CC51BF"/>
    <w:rsid w:val="00D12581"/>
    <w:rsid w:val="00D4560E"/>
    <w:rsid w:val="00D54F63"/>
    <w:rsid w:val="00D54F6F"/>
    <w:rsid w:val="00D561D2"/>
    <w:rsid w:val="00D72705"/>
    <w:rsid w:val="00D95570"/>
    <w:rsid w:val="00DB1570"/>
    <w:rsid w:val="00DB1F1B"/>
    <w:rsid w:val="00DC6926"/>
    <w:rsid w:val="00DD625C"/>
    <w:rsid w:val="00DF66DA"/>
    <w:rsid w:val="00E10A7C"/>
    <w:rsid w:val="00E16842"/>
    <w:rsid w:val="00E22B4F"/>
    <w:rsid w:val="00E31B6A"/>
    <w:rsid w:val="00E46664"/>
    <w:rsid w:val="00E52069"/>
    <w:rsid w:val="00E5377D"/>
    <w:rsid w:val="00E62F74"/>
    <w:rsid w:val="00E876F6"/>
    <w:rsid w:val="00EA2351"/>
    <w:rsid w:val="00EB557A"/>
    <w:rsid w:val="00EB5784"/>
    <w:rsid w:val="00EC16BD"/>
    <w:rsid w:val="00EC5D7F"/>
    <w:rsid w:val="00ED4F94"/>
    <w:rsid w:val="00EE5A86"/>
    <w:rsid w:val="00F13FF4"/>
    <w:rsid w:val="00F50D50"/>
    <w:rsid w:val="00F53CC0"/>
    <w:rsid w:val="00FA3675"/>
    <w:rsid w:val="00FB20CE"/>
    <w:rsid w:val="00FC39F4"/>
    <w:rsid w:val="00FD5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51A44"/>
  <w15:chartTrackingRefBased/>
  <w15:docId w15:val="{381F0138-B35B-4BFC-BC25-A97C24BE7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58A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8858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885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58AD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885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58AD"/>
    <w:rPr>
      <w:rFonts w:eastAsiaTheme="minorEastAsia"/>
      <w:lang w:eastAsia="ru-RU"/>
    </w:rPr>
  </w:style>
  <w:style w:type="character" w:styleId="a7">
    <w:name w:val="Hyperlink"/>
    <w:basedOn w:val="a0"/>
    <w:uiPriority w:val="99"/>
    <w:unhideWhenUsed/>
    <w:rsid w:val="006E373D"/>
    <w:rPr>
      <w:color w:val="0563C1" w:themeColor="hyperlink"/>
      <w:u w:val="single"/>
    </w:rPr>
  </w:style>
  <w:style w:type="character" w:customStyle="1" w:styleId="ConsPlusNormal0">
    <w:name w:val="ConsPlusNormal Знак"/>
    <w:link w:val="ConsPlusNormal"/>
    <w:locked/>
    <w:rsid w:val="00E52069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gin.consultant.ru/link/?req=doc&amp;base=LAW&amp;n=149911&amp;date=12.01.202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login.consultant.ru/link/?req=doc&amp;base=LAW&amp;n=149911&amp;date=12.01.202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5</Pages>
  <Words>1247</Words>
  <Characters>7109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 Керезь</dc:creator>
  <cp:keywords/>
  <dc:description/>
  <cp:lastModifiedBy>Руслан Керезь</cp:lastModifiedBy>
  <cp:revision>131</cp:revision>
  <dcterms:created xsi:type="dcterms:W3CDTF">2022-01-12T14:52:00Z</dcterms:created>
  <dcterms:modified xsi:type="dcterms:W3CDTF">2025-10-13T08:35:00Z</dcterms:modified>
</cp:coreProperties>
</file>